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CE12D" w14:textId="6AF545AB" w:rsidR="001C1315" w:rsidRPr="00C622A7" w:rsidRDefault="00245392" w:rsidP="001C1315">
      <w:pPr>
        <w:jc w:val="center"/>
        <w:rPr>
          <w:rFonts w:ascii="Garamond" w:hAnsi="Garamond"/>
          <w:i/>
          <w:sz w:val="36"/>
        </w:rPr>
      </w:pPr>
      <w:r w:rsidRPr="00107692">
        <w:rPr>
          <w:rFonts w:ascii="Garamond" w:hAnsi="Garamond"/>
          <w:b/>
          <w:sz w:val="36"/>
        </w:rPr>
        <w:t xml:space="preserve">Intermediate </w:t>
      </w:r>
      <w:r w:rsidR="00C622A7" w:rsidRPr="00107692">
        <w:rPr>
          <w:rFonts w:ascii="Garamond" w:hAnsi="Garamond"/>
          <w:b/>
          <w:sz w:val="36"/>
        </w:rPr>
        <w:t>Latin</w:t>
      </w:r>
      <w:r w:rsidRPr="00107692">
        <w:rPr>
          <w:rFonts w:ascii="Garamond" w:hAnsi="Garamond"/>
          <w:b/>
          <w:sz w:val="36"/>
        </w:rPr>
        <w:t xml:space="preserve"> Reading</w:t>
      </w:r>
      <w:r w:rsidRPr="00245392">
        <w:rPr>
          <w:rFonts w:ascii="Garamond" w:hAnsi="Garamond"/>
          <w:sz w:val="36"/>
        </w:rPr>
        <w:t xml:space="preserve"> - </w:t>
      </w:r>
      <w:r w:rsidR="00BC3FB4" w:rsidRPr="00BC3FB4">
        <w:rPr>
          <w:rFonts w:ascii="Garamond" w:hAnsi="Garamond"/>
          <w:sz w:val="36"/>
        </w:rPr>
        <w:t>the</w:t>
      </w:r>
      <w:r w:rsidR="00BC3FB4">
        <w:rPr>
          <w:rFonts w:ascii="Garamond" w:hAnsi="Garamond"/>
          <w:i/>
          <w:sz w:val="36"/>
        </w:rPr>
        <w:t xml:space="preserve"> </w:t>
      </w:r>
      <w:r w:rsidR="00C622A7" w:rsidRPr="00E672D3">
        <w:rPr>
          <w:rFonts w:ascii="Garamond" w:hAnsi="Garamond"/>
          <w:i/>
          <w:smallCaps/>
          <w:sz w:val="36"/>
        </w:rPr>
        <w:t>Cato Maior</w:t>
      </w:r>
      <w:r w:rsidRPr="00E672D3">
        <w:rPr>
          <w:rFonts w:ascii="Garamond" w:hAnsi="Garamond"/>
          <w:i/>
          <w:smallCaps/>
          <w:sz w:val="36"/>
        </w:rPr>
        <w:t xml:space="preserve"> </w:t>
      </w:r>
      <w:r w:rsidR="00C622A7" w:rsidRPr="00E672D3">
        <w:rPr>
          <w:rFonts w:ascii="Garamond" w:hAnsi="Garamond"/>
          <w:i/>
          <w:smallCaps/>
          <w:sz w:val="36"/>
        </w:rPr>
        <w:t>de Senectute</w:t>
      </w:r>
    </w:p>
    <w:p w14:paraId="41B1955C" w14:textId="302ACCB2" w:rsidR="00245392" w:rsidRPr="000B7B44" w:rsidRDefault="00245392" w:rsidP="00245392">
      <w:pPr>
        <w:jc w:val="right"/>
        <w:rPr>
          <w:rFonts w:ascii="GFS Porson" w:hAnsi="GFS Porson"/>
          <w:b/>
          <w:sz w:val="21"/>
        </w:rPr>
      </w:pPr>
      <w:r w:rsidRPr="007F68A5">
        <w:rPr>
          <w:rFonts w:ascii="GFS Porson" w:hAnsi="GFS Porson"/>
          <w:b/>
          <w:sz w:val="21"/>
          <w:lang w:val="el-GR"/>
        </w:rPr>
        <w:t>τὸ</w:t>
      </w:r>
      <w:r w:rsidRPr="007F68A5">
        <w:rPr>
          <w:rFonts w:ascii="GFS Porson" w:hAnsi="GFS Porson"/>
          <w:b/>
          <w:sz w:val="21"/>
        </w:rPr>
        <w:t xml:space="preserve"> </w:t>
      </w:r>
      <w:r w:rsidRPr="007F68A5">
        <w:rPr>
          <w:rFonts w:ascii="GFS Porson" w:hAnsi="GFS Porson"/>
          <w:b/>
          <w:sz w:val="21"/>
          <w:lang w:val="el-GR"/>
        </w:rPr>
        <w:t>τέλος</w:t>
      </w:r>
      <w:r w:rsidRPr="007F68A5">
        <w:rPr>
          <w:rFonts w:ascii="GFS Porson" w:hAnsi="GFS Porson"/>
          <w:b/>
          <w:sz w:val="21"/>
        </w:rPr>
        <w:t xml:space="preserve"> </w:t>
      </w:r>
      <w:r w:rsidRPr="007F68A5">
        <w:rPr>
          <w:rFonts w:ascii="GFS Porson" w:hAnsi="GFS Porson"/>
          <w:b/>
          <w:sz w:val="21"/>
          <w:lang w:val="el-GR"/>
        </w:rPr>
        <w:t>οὐ</w:t>
      </w:r>
      <w:r w:rsidRPr="007F68A5">
        <w:rPr>
          <w:rFonts w:ascii="GFS Porson" w:hAnsi="GFS Porson"/>
          <w:b/>
          <w:sz w:val="21"/>
        </w:rPr>
        <w:t xml:space="preserve"> </w:t>
      </w:r>
      <w:r w:rsidRPr="007F68A5">
        <w:rPr>
          <w:rFonts w:ascii="GFS Porson" w:hAnsi="GFS Porson"/>
          <w:b/>
          <w:sz w:val="21"/>
          <w:lang w:val="el-GR"/>
        </w:rPr>
        <w:t>γνῶσις</w:t>
      </w:r>
      <w:r w:rsidRPr="007F68A5">
        <w:rPr>
          <w:rFonts w:ascii="GFS Porson" w:hAnsi="GFS Porson"/>
          <w:b/>
          <w:sz w:val="21"/>
        </w:rPr>
        <w:t xml:space="preserve"> </w:t>
      </w:r>
      <w:r w:rsidRPr="007F68A5">
        <w:rPr>
          <w:rFonts w:ascii="GFS Porson" w:hAnsi="GFS Porson"/>
          <w:b/>
          <w:sz w:val="21"/>
          <w:lang w:val="el-GR"/>
        </w:rPr>
        <w:t>ἐστιν</w:t>
      </w:r>
      <w:r w:rsidRPr="007F68A5">
        <w:rPr>
          <w:rFonts w:ascii="GFS Porson" w:hAnsi="GFS Porson"/>
          <w:b/>
          <w:sz w:val="21"/>
        </w:rPr>
        <w:t xml:space="preserve"> </w:t>
      </w:r>
      <w:r w:rsidRPr="007F68A5">
        <w:rPr>
          <w:rFonts w:ascii="GFS Porson" w:hAnsi="GFS Porson"/>
          <w:b/>
          <w:sz w:val="21"/>
          <w:lang w:val="el-GR"/>
        </w:rPr>
        <w:t>ἀλλὰ</w:t>
      </w:r>
      <w:r w:rsidRPr="007F68A5">
        <w:rPr>
          <w:rFonts w:ascii="GFS Porson" w:hAnsi="GFS Porson"/>
          <w:b/>
          <w:sz w:val="21"/>
        </w:rPr>
        <w:t xml:space="preserve"> </w:t>
      </w:r>
      <w:r w:rsidRPr="007F68A5">
        <w:rPr>
          <w:rFonts w:ascii="GFS Porson" w:hAnsi="GFS Porson"/>
          <w:b/>
          <w:sz w:val="21"/>
          <w:lang w:val="el-GR"/>
        </w:rPr>
        <w:t>πρᾶξις</w:t>
      </w:r>
    </w:p>
    <w:p w14:paraId="74FB8979" w14:textId="62EFC3A3" w:rsidR="00B87A77" w:rsidRPr="00B87A77" w:rsidRDefault="00B87A77" w:rsidP="00245392">
      <w:pPr>
        <w:jc w:val="right"/>
        <w:rPr>
          <w:rFonts w:ascii="Garamond" w:hAnsi="Garamond" w:cs="Times New Roman"/>
          <w:sz w:val="20"/>
        </w:rPr>
      </w:pPr>
      <w:r w:rsidRPr="00BF3799">
        <w:rPr>
          <w:rFonts w:ascii="Garamond" w:hAnsi="Garamond" w:cs="Times New Roman"/>
          <w:sz w:val="20"/>
        </w:rPr>
        <w:t>Some mistrust and say: 'Time escapes // live now or never!'</w:t>
      </w:r>
      <w:r w:rsidRPr="00BF3799">
        <w:rPr>
          <w:rFonts w:ascii="Garamond" w:hAnsi="Garamond" w:cs="Times New Roman"/>
          <w:sz w:val="20"/>
        </w:rPr>
        <w:br/>
        <w:t>But he said, 'What's time?' Leave now for dogs and apes; // man has forever!'</w:t>
      </w:r>
    </w:p>
    <w:p w14:paraId="3FA7EA24" w14:textId="7D19C60B" w:rsidR="00295457" w:rsidRDefault="00295457" w:rsidP="00295457">
      <w:pPr>
        <w:rPr>
          <w:rFonts w:ascii="Garamond" w:hAnsi="Garamond"/>
        </w:rPr>
      </w:pPr>
      <w:r w:rsidRPr="007B14AA">
        <w:rPr>
          <w:rFonts w:ascii="Garamond" w:hAnsi="Garamond"/>
        </w:rPr>
        <w:t xml:space="preserve">The goal in this class is to get up one's reading fluency, plain and simple. To do so, we will take turns reading </w:t>
      </w:r>
      <w:r w:rsidR="00624991">
        <w:rPr>
          <w:rFonts w:ascii="Garamond" w:hAnsi="Garamond"/>
        </w:rPr>
        <w:t>Latin</w:t>
      </w:r>
      <w:r w:rsidRPr="007B14AA">
        <w:rPr>
          <w:rFonts w:ascii="Garamond" w:hAnsi="Garamond"/>
        </w:rPr>
        <w:t xml:space="preserve"> aloud (with sensible accentuation) and translating. I will also translate large portions at the beginning and end of class</w:t>
      </w:r>
      <w:r w:rsidR="008C7C48">
        <w:rPr>
          <w:rFonts w:ascii="Garamond" w:hAnsi="Garamond"/>
        </w:rPr>
        <w:t>.</w:t>
      </w:r>
      <w:r w:rsidRPr="007B14AA">
        <w:rPr>
          <w:rFonts w:ascii="Garamond" w:hAnsi="Garamond"/>
        </w:rPr>
        <w:t xml:space="preserve"> </w:t>
      </w:r>
      <w:r w:rsidR="008C7C48">
        <w:rPr>
          <w:rFonts w:ascii="Garamond" w:hAnsi="Garamond"/>
        </w:rPr>
        <w:t>In</w:t>
      </w:r>
      <w:r w:rsidRPr="007B14AA">
        <w:rPr>
          <w:rFonts w:ascii="Garamond" w:hAnsi="Garamond"/>
        </w:rPr>
        <w:t xml:space="preserve"> order to extend your familiarity with </w:t>
      </w:r>
      <w:r w:rsidR="001B3810">
        <w:rPr>
          <w:rFonts w:ascii="Garamond" w:hAnsi="Garamond"/>
        </w:rPr>
        <w:t>Latin in general we will have some opportunities to</w:t>
      </w:r>
      <w:r w:rsidRPr="007B14AA">
        <w:rPr>
          <w:rFonts w:ascii="Garamond" w:hAnsi="Garamond"/>
        </w:rPr>
        <w:t xml:space="preserve"> sight-read other </w:t>
      </w:r>
      <w:r w:rsidR="001B3810">
        <w:rPr>
          <w:rFonts w:ascii="Garamond" w:hAnsi="Garamond"/>
        </w:rPr>
        <w:t>passages</w:t>
      </w:r>
      <w:r w:rsidRPr="007B14AA">
        <w:rPr>
          <w:rFonts w:ascii="Garamond" w:hAnsi="Garamond"/>
        </w:rPr>
        <w:t xml:space="preserve"> </w:t>
      </w:r>
      <w:r w:rsidR="001B3810">
        <w:rPr>
          <w:rFonts w:ascii="Garamond" w:hAnsi="Garamond"/>
        </w:rPr>
        <w:t>from</w:t>
      </w:r>
      <w:r w:rsidRPr="007B14AA">
        <w:rPr>
          <w:rFonts w:ascii="Garamond" w:hAnsi="Garamond"/>
        </w:rPr>
        <w:t xml:space="preserve"> </w:t>
      </w:r>
      <w:r w:rsidR="0046164D">
        <w:rPr>
          <w:rFonts w:ascii="Garamond" w:hAnsi="Garamond"/>
        </w:rPr>
        <w:t>Cicero's corpus</w:t>
      </w:r>
      <w:r w:rsidR="001B3810">
        <w:rPr>
          <w:rFonts w:ascii="Garamond" w:hAnsi="Garamond"/>
        </w:rPr>
        <w:t xml:space="preserve">, chosen to </w:t>
      </w:r>
      <w:r w:rsidR="0046164D">
        <w:rPr>
          <w:rFonts w:ascii="Garamond" w:hAnsi="Garamond"/>
        </w:rPr>
        <w:t>illustrate the current passage</w:t>
      </w:r>
      <w:r w:rsidR="001B3810">
        <w:rPr>
          <w:rFonts w:ascii="Garamond" w:hAnsi="Garamond"/>
        </w:rPr>
        <w:t xml:space="preserve">. For the same reason, we will look at a few select passages from other </w:t>
      </w:r>
      <w:r w:rsidR="0046164D">
        <w:rPr>
          <w:rFonts w:ascii="Garamond" w:hAnsi="Garamond"/>
        </w:rPr>
        <w:t>Latin</w:t>
      </w:r>
      <w:r w:rsidRPr="007B14AA">
        <w:rPr>
          <w:rFonts w:ascii="Garamond" w:hAnsi="Garamond"/>
        </w:rPr>
        <w:t xml:space="preserve"> authors</w:t>
      </w:r>
      <w:r w:rsidR="0046164D">
        <w:rPr>
          <w:rFonts w:ascii="Garamond" w:hAnsi="Garamond"/>
        </w:rPr>
        <w:t xml:space="preserve"> or contemporary sources</w:t>
      </w:r>
      <w:r w:rsidRPr="007B14AA">
        <w:rPr>
          <w:rFonts w:ascii="Garamond" w:hAnsi="Garamond"/>
        </w:rPr>
        <w:t xml:space="preserve"> (</w:t>
      </w:r>
      <w:r w:rsidR="0046164D">
        <w:rPr>
          <w:rFonts w:ascii="Garamond" w:hAnsi="Garamond"/>
        </w:rPr>
        <w:t>Cato himself, Lucretius, inscriptions, coin legends, etc</w:t>
      </w:r>
      <w:r w:rsidR="001B3810">
        <w:rPr>
          <w:rFonts w:ascii="Garamond" w:hAnsi="Garamond"/>
        </w:rPr>
        <w:t>.). The</w:t>
      </w:r>
      <w:r w:rsidRPr="007B14AA">
        <w:rPr>
          <w:rFonts w:ascii="Garamond" w:hAnsi="Garamond"/>
        </w:rPr>
        <w:t xml:space="preserve"> text </w:t>
      </w:r>
      <w:r w:rsidR="001B3810">
        <w:rPr>
          <w:rFonts w:ascii="Garamond" w:hAnsi="Garamond"/>
        </w:rPr>
        <w:t xml:space="preserve">will </w:t>
      </w:r>
      <w:r w:rsidRPr="007B14AA">
        <w:rPr>
          <w:rFonts w:ascii="Garamond" w:hAnsi="Garamond"/>
        </w:rPr>
        <w:t xml:space="preserve">take us where it needs to so that we comprehend </w:t>
      </w:r>
      <w:r w:rsidR="006B1267">
        <w:rPr>
          <w:rFonts w:ascii="Garamond" w:hAnsi="Garamond"/>
        </w:rPr>
        <w:t>it</w:t>
      </w:r>
      <w:r w:rsidRPr="007B14AA">
        <w:rPr>
          <w:rFonts w:ascii="Garamond" w:hAnsi="Garamond"/>
        </w:rPr>
        <w:t xml:space="preserve"> on its own terms.</w:t>
      </w:r>
      <w:r w:rsidR="003B005A">
        <w:rPr>
          <w:rFonts w:ascii="Garamond" w:hAnsi="Garamond"/>
        </w:rPr>
        <w:t xml:space="preserve"> </w:t>
      </w:r>
    </w:p>
    <w:p w14:paraId="0A3ECEF5" w14:textId="0E45BE55" w:rsidR="003B005A" w:rsidRPr="000C6DF3" w:rsidRDefault="00122BF6" w:rsidP="00295457">
      <w:pPr>
        <w:rPr>
          <w:rFonts w:ascii="Garamond" w:hAnsi="Garamond"/>
          <w:i/>
        </w:rPr>
      </w:pPr>
      <w:r>
        <w:rPr>
          <w:rFonts w:ascii="Garamond" w:hAnsi="Garamond"/>
        </w:rPr>
        <w:t xml:space="preserve">Our </w:t>
      </w:r>
      <w:r w:rsidR="00F2281C">
        <w:rPr>
          <w:rFonts w:ascii="Garamond" w:hAnsi="Garamond"/>
        </w:rPr>
        <w:t xml:space="preserve">concrete task is </w:t>
      </w:r>
      <w:r>
        <w:rPr>
          <w:rFonts w:ascii="Garamond" w:hAnsi="Garamond"/>
        </w:rPr>
        <w:t xml:space="preserve">to read </w:t>
      </w:r>
      <w:r>
        <w:rPr>
          <w:rFonts w:ascii="Garamond" w:hAnsi="Garamond"/>
          <w:i/>
        </w:rPr>
        <w:t xml:space="preserve">Cato Maior de </w:t>
      </w:r>
      <w:r w:rsidR="00B73D38">
        <w:rPr>
          <w:rFonts w:ascii="Garamond" w:hAnsi="Garamond"/>
          <w:i/>
        </w:rPr>
        <w:t>s</w:t>
      </w:r>
      <w:r>
        <w:rPr>
          <w:rFonts w:ascii="Garamond" w:hAnsi="Garamond"/>
          <w:i/>
        </w:rPr>
        <w:t>enec</w:t>
      </w:r>
      <w:r w:rsidR="00327CC2">
        <w:rPr>
          <w:rFonts w:ascii="Garamond" w:hAnsi="Garamond"/>
          <w:i/>
        </w:rPr>
        <w:t>t</w:t>
      </w:r>
      <w:r>
        <w:rPr>
          <w:rFonts w:ascii="Garamond" w:hAnsi="Garamond"/>
          <w:i/>
        </w:rPr>
        <w:t>ute</w:t>
      </w:r>
      <w:r>
        <w:rPr>
          <w:rFonts w:ascii="Garamond" w:hAnsi="Garamond"/>
        </w:rPr>
        <w:t xml:space="preserve">, what one classic critic called (perhaps one-sidedly) </w:t>
      </w:r>
      <w:r w:rsidR="0062186E">
        <w:rPr>
          <w:rFonts w:ascii="Garamond" w:hAnsi="Garamond"/>
        </w:rPr>
        <w:t>Cicero's</w:t>
      </w:r>
      <w:r>
        <w:rPr>
          <w:rFonts w:ascii="Garamond" w:hAnsi="Garamond"/>
        </w:rPr>
        <w:t xml:space="preserve"> only true work of </w:t>
      </w:r>
      <w:r w:rsidR="003B3FA5">
        <w:rPr>
          <w:rFonts w:ascii="Garamond" w:hAnsi="Garamond"/>
        </w:rPr>
        <w:t>timeless, literary</w:t>
      </w:r>
      <w:r>
        <w:rPr>
          <w:rFonts w:ascii="Garamond" w:hAnsi="Garamond"/>
        </w:rPr>
        <w:t xml:space="preserve"> beauty</w:t>
      </w:r>
      <w:r w:rsidR="003B3FA5">
        <w:rPr>
          <w:rFonts w:ascii="Garamond" w:hAnsi="Garamond"/>
        </w:rPr>
        <w:t xml:space="preserve">. Whether that claim is overdrawn or not, </w:t>
      </w:r>
      <w:r w:rsidR="0062186E">
        <w:rPr>
          <w:rFonts w:ascii="Garamond" w:hAnsi="Garamond"/>
        </w:rPr>
        <w:t>the dialogue's</w:t>
      </w:r>
      <w:r w:rsidR="003B3FA5">
        <w:rPr>
          <w:rFonts w:ascii="Garamond" w:hAnsi="Garamond"/>
        </w:rPr>
        <w:t xml:space="preserve"> unique combination of </w:t>
      </w:r>
      <w:r w:rsidR="00A55C73">
        <w:rPr>
          <w:rFonts w:ascii="Garamond" w:hAnsi="Garamond"/>
        </w:rPr>
        <w:t xml:space="preserve">flawless </w:t>
      </w:r>
      <w:r w:rsidR="00EF27D6">
        <w:rPr>
          <w:rFonts w:ascii="Garamond" w:hAnsi="Garamond"/>
        </w:rPr>
        <w:t>La</w:t>
      </w:r>
      <w:r w:rsidR="00A55C73">
        <w:rPr>
          <w:rFonts w:ascii="Garamond" w:hAnsi="Garamond"/>
        </w:rPr>
        <w:t>tinity with historical verisimilitude and earthy wisdom will make sufficiently clear why this has been a favorite of figures as diverse as John Adams and Jacob Grimm</w:t>
      </w:r>
      <w:r w:rsidR="00CB4FF6">
        <w:rPr>
          <w:rFonts w:ascii="Garamond" w:hAnsi="Garamond"/>
        </w:rPr>
        <w:t>.</w:t>
      </w:r>
      <w:r w:rsidR="000C6DF3">
        <w:rPr>
          <w:rFonts w:ascii="Garamond" w:hAnsi="Garamond"/>
        </w:rPr>
        <w:t xml:space="preserve"> We will also get to as much as the </w:t>
      </w:r>
      <w:r w:rsidR="000C6DF3">
        <w:rPr>
          <w:rFonts w:ascii="Garamond" w:hAnsi="Garamond"/>
          <w:i/>
        </w:rPr>
        <w:t xml:space="preserve">Laelius </w:t>
      </w:r>
      <w:r w:rsidR="000C6DF3">
        <w:rPr>
          <w:rFonts w:ascii="Garamond" w:hAnsi="Garamond"/>
        </w:rPr>
        <w:t xml:space="preserve">as we can after finishing </w:t>
      </w:r>
      <w:r w:rsidR="000C6DF3">
        <w:rPr>
          <w:rFonts w:ascii="Garamond" w:hAnsi="Garamond"/>
          <w:i/>
        </w:rPr>
        <w:t>Cato Maior.</w:t>
      </w:r>
    </w:p>
    <w:p w14:paraId="53EB0B3F" w14:textId="781E7390" w:rsidR="00295457" w:rsidRPr="007B14AA" w:rsidRDefault="003B005A" w:rsidP="00107692">
      <w:pPr>
        <w:rPr>
          <w:rFonts w:ascii="Garamond" w:hAnsi="Garamond"/>
        </w:rPr>
      </w:pPr>
      <w:r>
        <w:rPr>
          <w:rFonts w:ascii="Garamond" w:hAnsi="Garamond"/>
        </w:rPr>
        <w:t>We will also try to identify recurring features of Ciceronian syntax and style</w:t>
      </w:r>
      <w:r w:rsidR="000063CD">
        <w:rPr>
          <w:rFonts w:ascii="Garamond" w:hAnsi="Garamond"/>
        </w:rPr>
        <w:t>, for which handouts will be provided.</w:t>
      </w:r>
      <w:r w:rsidR="00CD01CD">
        <w:rPr>
          <w:rFonts w:ascii="Garamond" w:hAnsi="Garamond"/>
        </w:rPr>
        <w:tab/>
      </w:r>
    </w:p>
    <w:p w14:paraId="5FF6C11B" w14:textId="4457C4E7" w:rsidR="00295457" w:rsidRPr="007B14AA" w:rsidRDefault="00295457" w:rsidP="00295457">
      <w:pPr>
        <w:rPr>
          <w:rFonts w:ascii="Garamond" w:hAnsi="Garamond"/>
        </w:rPr>
      </w:pPr>
      <w:r w:rsidRPr="007B14AA">
        <w:rPr>
          <w:rFonts w:ascii="Garamond" w:hAnsi="Garamond"/>
        </w:rPr>
        <w:t>Week 1:</w:t>
      </w:r>
      <w:r w:rsidR="007B14AA">
        <w:rPr>
          <w:rFonts w:ascii="Garamond" w:hAnsi="Garamond"/>
        </w:rPr>
        <w:t xml:space="preserve"> </w:t>
      </w:r>
      <w:r w:rsidR="007B14AA">
        <w:rPr>
          <w:rFonts w:ascii="Garamond" w:hAnsi="Garamond"/>
          <w:i/>
        </w:rPr>
        <w:t>Cato Maior</w:t>
      </w:r>
      <w:r w:rsidRPr="007B14AA">
        <w:rPr>
          <w:rFonts w:ascii="Garamond" w:hAnsi="Garamond"/>
        </w:rPr>
        <w:t xml:space="preserve"> </w:t>
      </w:r>
      <w:r w:rsidR="000E503E">
        <w:rPr>
          <w:rFonts w:ascii="Garamond" w:hAnsi="Garamond"/>
        </w:rPr>
        <w:t xml:space="preserve">- Cicero and Atticus </w:t>
      </w:r>
      <w:r w:rsidRPr="007B14AA">
        <w:rPr>
          <w:rFonts w:ascii="Garamond" w:hAnsi="Garamond"/>
        </w:rPr>
        <w:t>(</w:t>
      </w:r>
      <w:r w:rsidR="00F446AF" w:rsidRPr="007B14AA">
        <w:rPr>
          <w:rFonts w:ascii="Garamond" w:hAnsi="Garamond"/>
        </w:rPr>
        <w:t>Chapters</w:t>
      </w:r>
      <w:r w:rsidRPr="007B14AA">
        <w:rPr>
          <w:rFonts w:ascii="Garamond" w:hAnsi="Garamond"/>
        </w:rPr>
        <w:t xml:space="preserve"> </w:t>
      </w:r>
      <w:r w:rsidR="003B005A">
        <w:rPr>
          <w:rFonts w:ascii="Garamond" w:hAnsi="Garamond"/>
        </w:rPr>
        <w:t>1-3</w:t>
      </w:r>
      <w:r w:rsidRPr="007B14AA">
        <w:rPr>
          <w:rFonts w:ascii="Garamond" w:hAnsi="Garamond"/>
        </w:rPr>
        <w:t>)</w:t>
      </w:r>
    </w:p>
    <w:p w14:paraId="6EC054FF" w14:textId="4E089708" w:rsidR="00295457" w:rsidRPr="007B14AA" w:rsidRDefault="00295457" w:rsidP="00295457">
      <w:pPr>
        <w:rPr>
          <w:rFonts w:ascii="Garamond" w:hAnsi="Garamond"/>
        </w:rPr>
      </w:pPr>
      <w:r w:rsidRPr="007B14AA">
        <w:rPr>
          <w:rFonts w:ascii="Garamond" w:hAnsi="Garamond"/>
        </w:rPr>
        <w:t xml:space="preserve">Week 2: </w:t>
      </w:r>
      <w:r w:rsidR="007B14AA">
        <w:rPr>
          <w:rFonts w:ascii="Garamond" w:hAnsi="Garamond"/>
          <w:i/>
        </w:rPr>
        <w:t xml:space="preserve">Cato Maior </w:t>
      </w:r>
      <w:r w:rsidR="000E503E">
        <w:rPr>
          <w:rFonts w:ascii="Garamond" w:hAnsi="Garamond"/>
        </w:rPr>
        <w:t xml:space="preserve">- Imagines maiorum, Scipio's dream </w:t>
      </w:r>
      <w:r w:rsidRPr="007B14AA">
        <w:rPr>
          <w:rFonts w:ascii="Garamond" w:hAnsi="Garamond"/>
        </w:rPr>
        <w:t>(</w:t>
      </w:r>
      <w:r w:rsidR="003B005A">
        <w:rPr>
          <w:rFonts w:ascii="Garamond" w:hAnsi="Garamond"/>
        </w:rPr>
        <w:t>4</w:t>
      </w:r>
      <w:r w:rsidRPr="007B14AA">
        <w:rPr>
          <w:rFonts w:ascii="Garamond" w:hAnsi="Garamond"/>
        </w:rPr>
        <w:t>-</w:t>
      </w:r>
      <w:r w:rsidR="003B005A">
        <w:rPr>
          <w:rFonts w:ascii="Garamond" w:hAnsi="Garamond"/>
        </w:rPr>
        <w:t>7</w:t>
      </w:r>
      <w:r w:rsidRPr="007B14AA">
        <w:rPr>
          <w:rFonts w:ascii="Garamond" w:hAnsi="Garamond"/>
        </w:rPr>
        <w:t>)</w:t>
      </w:r>
    </w:p>
    <w:p w14:paraId="44D69FF1" w14:textId="1DE4840D" w:rsidR="00295457" w:rsidRPr="007B14AA" w:rsidRDefault="00295457" w:rsidP="00295457">
      <w:pPr>
        <w:rPr>
          <w:rFonts w:ascii="Garamond" w:hAnsi="Garamond"/>
        </w:rPr>
      </w:pPr>
      <w:r w:rsidRPr="007B14AA">
        <w:rPr>
          <w:rFonts w:ascii="Garamond" w:hAnsi="Garamond"/>
        </w:rPr>
        <w:t xml:space="preserve">Week 3: </w:t>
      </w:r>
      <w:r w:rsidR="007B14AA">
        <w:rPr>
          <w:rFonts w:ascii="Garamond" w:hAnsi="Garamond"/>
          <w:i/>
        </w:rPr>
        <w:t xml:space="preserve">Cato Maior </w:t>
      </w:r>
      <w:r w:rsidR="00241D1C">
        <w:rPr>
          <w:rFonts w:ascii="Garamond" w:hAnsi="Garamond"/>
        </w:rPr>
        <w:t xml:space="preserve">- </w:t>
      </w:r>
      <w:r w:rsidR="00241D1C">
        <w:rPr>
          <w:rFonts w:ascii="Garamond" w:hAnsi="Garamond"/>
          <w:i/>
        </w:rPr>
        <w:t xml:space="preserve">tbd </w:t>
      </w:r>
      <w:r w:rsidR="00CB3F12" w:rsidRPr="007B14AA">
        <w:rPr>
          <w:rFonts w:ascii="Garamond" w:hAnsi="Garamond"/>
        </w:rPr>
        <w:t>(</w:t>
      </w:r>
      <w:r w:rsidR="003B005A">
        <w:rPr>
          <w:rFonts w:ascii="Garamond" w:hAnsi="Garamond"/>
        </w:rPr>
        <w:t>8</w:t>
      </w:r>
      <w:r w:rsidR="00CB3F12" w:rsidRPr="007B14AA">
        <w:rPr>
          <w:rFonts w:ascii="Garamond" w:hAnsi="Garamond"/>
        </w:rPr>
        <w:t>-</w:t>
      </w:r>
      <w:r w:rsidR="000063CD">
        <w:rPr>
          <w:rFonts w:ascii="Garamond" w:hAnsi="Garamond"/>
        </w:rPr>
        <w:t>12</w:t>
      </w:r>
      <w:r w:rsidR="00CB3F12" w:rsidRPr="007B14AA">
        <w:rPr>
          <w:rFonts w:ascii="Garamond" w:hAnsi="Garamond"/>
        </w:rPr>
        <w:t>)</w:t>
      </w:r>
    </w:p>
    <w:p w14:paraId="3FF4CBE1" w14:textId="0A7AE068" w:rsidR="00295457" w:rsidRPr="007B14AA" w:rsidRDefault="00295457" w:rsidP="00295457">
      <w:pPr>
        <w:rPr>
          <w:rFonts w:ascii="Garamond" w:hAnsi="Garamond"/>
        </w:rPr>
      </w:pPr>
      <w:r w:rsidRPr="007B14AA">
        <w:rPr>
          <w:rFonts w:ascii="Garamond" w:hAnsi="Garamond"/>
        </w:rPr>
        <w:t xml:space="preserve">Week 4: </w:t>
      </w:r>
      <w:r w:rsidR="007B14AA">
        <w:rPr>
          <w:rFonts w:ascii="Garamond" w:hAnsi="Garamond"/>
          <w:i/>
        </w:rPr>
        <w:t>Cato Maior</w:t>
      </w:r>
      <w:r w:rsidR="00241D1C">
        <w:rPr>
          <w:rFonts w:ascii="Garamond" w:hAnsi="Garamond"/>
          <w:i/>
        </w:rPr>
        <w:t xml:space="preserve"> - tbd </w:t>
      </w:r>
      <w:r w:rsidR="007B14AA">
        <w:rPr>
          <w:rFonts w:ascii="Garamond" w:hAnsi="Garamond"/>
          <w:i/>
        </w:rPr>
        <w:t xml:space="preserve"> </w:t>
      </w:r>
      <w:r w:rsidR="00CB3F12" w:rsidRPr="007B14AA">
        <w:rPr>
          <w:rFonts w:ascii="Garamond" w:hAnsi="Garamond"/>
        </w:rPr>
        <w:t>(</w:t>
      </w:r>
      <w:r w:rsidR="000063CD">
        <w:rPr>
          <w:rFonts w:ascii="Garamond" w:hAnsi="Garamond"/>
        </w:rPr>
        <w:t>13</w:t>
      </w:r>
      <w:r w:rsidR="00CB3F12" w:rsidRPr="007B14AA">
        <w:rPr>
          <w:rFonts w:ascii="Garamond" w:hAnsi="Garamond"/>
        </w:rPr>
        <w:t xml:space="preserve"> -</w:t>
      </w:r>
      <w:r w:rsidR="000063CD">
        <w:rPr>
          <w:rFonts w:ascii="Garamond" w:hAnsi="Garamond"/>
        </w:rPr>
        <w:t>17</w:t>
      </w:r>
      <w:r w:rsidR="00CB3F12" w:rsidRPr="007B14AA">
        <w:rPr>
          <w:rFonts w:ascii="Garamond" w:hAnsi="Garamond"/>
        </w:rPr>
        <w:t>)</w:t>
      </w:r>
    </w:p>
    <w:p w14:paraId="64244E77" w14:textId="032D24C7" w:rsidR="00295457" w:rsidRPr="007B14AA" w:rsidRDefault="00295457" w:rsidP="00295457">
      <w:pPr>
        <w:rPr>
          <w:rFonts w:ascii="Garamond" w:hAnsi="Garamond"/>
        </w:rPr>
      </w:pPr>
      <w:r w:rsidRPr="007B14AA">
        <w:rPr>
          <w:rFonts w:ascii="Garamond" w:hAnsi="Garamond"/>
        </w:rPr>
        <w:t>Week 5</w:t>
      </w:r>
      <w:r w:rsidR="00EF139C" w:rsidRPr="007B14AA">
        <w:rPr>
          <w:rFonts w:ascii="Garamond" w:hAnsi="Garamond"/>
        </w:rPr>
        <w:t xml:space="preserve">: </w:t>
      </w:r>
      <w:r w:rsidR="007B14AA">
        <w:rPr>
          <w:rFonts w:ascii="Garamond" w:hAnsi="Garamond"/>
          <w:i/>
        </w:rPr>
        <w:t>Cato Maior</w:t>
      </w:r>
      <w:r w:rsidR="00241D1C">
        <w:rPr>
          <w:rFonts w:ascii="Garamond" w:hAnsi="Garamond"/>
          <w:i/>
        </w:rPr>
        <w:t xml:space="preserve"> - tbd </w:t>
      </w:r>
      <w:r w:rsidR="007B14AA">
        <w:rPr>
          <w:rFonts w:ascii="Garamond" w:hAnsi="Garamond"/>
          <w:i/>
        </w:rPr>
        <w:t xml:space="preserve"> </w:t>
      </w:r>
      <w:r w:rsidR="00CB3F12" w:rsidRPr="007B14AA">
        <w:rPr>
          <w:rFonts w:ascii="Garamond" w:hAnsi="Garamond"/>
        </w:rPr>
        <w:t>(</w:t>
      </w:r>
      <w:r w:rsidR="000063CD">
        <w:rPr>
          <w:rFonts w:ascii="Garamond" w:hAnsi="Garamond"/>
        </w:rPr>
        <w:t>18</w:t>
      </w:r>
      <w:r w:rsidR="00D317AB" w:rsidRPr="007B14AA">
        <w:rPr>
          <w:rFonts w:ascii="Garamond" w:hAnsi="Garamond"/>
        </w:rPr>
        <w:t>-</w:t>
      </w:r>
      <w:r w:rsidR="000063CD">
        <w:rPr>
          <w:rFonts w:ascii="Garamond" w:hAnsi="Garamond"/>
        </w:rPr>
        <w:t>22</w:t>
      </w:r>
      <w:r w:rsidR="00CB3F12" w:rsidRPr="007B14AA">
        <w:rPr>
          <w:rFonts w:ascii="Garamond" w:hAnsi="Garamond"/>
        </w:rPr>
        <w:t>)</w:t>
      </w:r>
    </w:p>
    <w:p w14:paraId="107477FC" w14:textId="51B291AB" w:rsidR="00295457" w:rsidRPr="007B14AA" w:rsidRDefault="00295457" w:rsidP="00295457">
      <w:pPr>
        <w:rPr>
          <w:rFonts w:ascii="Garamond" w:hAnsi="Garamond"/>
        </w:rPr>
      </w:pPr>
      <w:r w:rsidRPr="007B14AA">
        <w:rPr>
          <w:rFonts w:ascii="Garamond" w:hAnsi="Garamond"/>
        </w:rPr>
        <w:t>Week 6</w:t>
      </w:r>
      <w:r w:rsidR="00CB3F12" w:rsidRPr="007B14AA">
        <w:rPr>
          <w:rFonts w:ascii="Garamond" w:hAnsi="Garamond"/>
        </w:rPr>
        <w:t xml:space="preserve">: </w:t>
      </w:r>
      <w:r w:rsidR="007B14AA" w:rsidRPr="007B14AA">
        <w:rPr>
          <w:rFonts w:ascii="Garamond" w:hAnsi="Garamond"/>
          <w:i/>
        </w:rPr>
        <w:t>Cato Maior</w:t>
      </w:r>
      <w:r w:rsidR="001D09FA" w:rsidRPr="007B14AA">
        <w:rPr>
          <w:rFonts w:ascii="Garamond" w:hAnsi="Garamond"/>
        </w:rPr>
        <w:t xml:space="preserve"> </w:t>
      </w:r>
      <w:r w:rsidR="00241D1C">
        <w:rPr>
          <w:rFonts w:ascii="Garamond" w:hAnsi="Garamond"/>
        </w:rPr>
        <w:t xml:space="preserve"> - </w:t>
      </w:r>
      <w:r w:rsidR="00241D1C">
        <w:rPr>
          <w:rFonts w:ascii="Garamond" w:hAnsi="Garamond"/>
          <w:i/>
        </w:rPr>
        <w:t xml:space="preserve">tbd </w:t>
      </w:r>
      <w:r w:rsidR="00D317AB" w:rsidRPr="007B14AA">
        <w:rPr>
          <w:rFonts w:ascii="Garamond" w:hAnsi="Garamond"/>
        </w:rPr>
        <w:t>(</w:t>
      </w:r>
      <w:r w:rsidR="000063CD">
        <w:rPr>
          <w:rFonts w:ascii="Garamond" w:hAnsi="Garamond"/>
        </w:rPr>
        <w:t>22</w:t>
      </w:r>
      <w:r w:rsidR="00D317AB" w:rsidRPr="007B14AA">
        <w:rPr>
          <w:rFonts w:ascii="Garamond" w:hAnsi="Garamond"/>
        </w:rPr>
        <w:t>-</w:t>
      </w:r>
      <w:r w:rsidR="000063CD">
        <w:rPr>
          <w:rFonts w:ascii="Garamond" w:hAnsi="Garamond"/>
        </w:rPr>
        <w:t>end</w:t>
      </w:r>
      <w:r w:rsidR="00CB3F12" w:rsidRPr="007B14AA">
        <w:rPr>
          <w:rFonts w:ascii="Garamond" w:hAnsi="Garamond"/>
        </w:rPr>
        <w:t>)</w:t>
      </w:r>
    </w:p>
    <w:p w14:paraId="74298455" w14:textId="58D0930B" w:rsidR="00295457" w:rsidRPr="00282040" w:rsidRDefault="00295457" w:rsidP="00295457">
      <w:pPr>
        <w:rPr>
          <w:rFonts w:ascii="Garamond" w:hAnsi="Garamond"/>
        </w:rPr>
      </w:pPr>
      <w:r w:rsidRPr="007B14AA">
        <w:rPr>
          <w:rFonts w:ascii="Garamond" w:hAnsi="Garamond"/>
        </w:rPr>
        <w:t>Week 7:</w:t>
      </w:r>
      <w:r w:rsidR="00CB3F12" w:rsidRPr="007B14AA">
        <w:rPr>
          <w:rFonts w:ascii="Garamond" w:hAnsi="Garamond"/>
        </w:rPr>
        <w:t xml:space="preserve"> </w:t>
      </w:r>
      <w:r w:rsidR="007B14AA">
        <w:rPr>
          <w:rFonts w:ascii="Garamond" w:hAnsi="Garamond"/>
          <w:i/>
        </w:rPr>
        <w:t>Laelius</w:t>
      </w:r>
      <w:r w:rsidR="00241D1C">
        <w:rPr>
          <w:rFonts w:ascii="Garamond" w:hAnsi="Garamond"/>
          <w:i/>
        </w:rPr>
        <w:t xml:space="preserve"> </w:t>
      </w:r>
      <w:r w:rsidR="00282040">
        <w:rPr>
          <w:rFonts w:ascii="Garamond" w:hAnsi="Garamond"/>
          <w:i/>
        </w:rPr>
        <w:t>-tbd</w:t>
      </w:r>
    </w:p>
    <w:p w14:paraId="56F47EA5" w14:textId="08374F29" w:rsidR="00295457" w:rsidRPr="00C622A7" w:rsidRDefault="00295457" w:rsidP="00295457">
      <w:pPr>
        <w:rPr>
          <w:rFonts w:ascii="Garamond" w:hAnsi="Garamond"/>
        </w:rPr>
      </w:pPr>
      <w:r w:rsidRPr="007B14AA">
        <w:rPr>
          <w:rFonts w:ascii="Garamond" w:hAnsi="Garamond"/>
        </w:rPr>
        <w:t>Week</w:t>
      </w:r>
      <w:r w:rsidR="001C1315" w:rsidRPr="007B14AA">
        <w:rPr>
          <w:rFonts w:ascii="Garamond" w:hAnsi="Garamond"/>
        </w:rPr>
        <w:t xml:space="preserve"> </w:t>
      </w:r>
      <w:r w:rsidRPr="007B14AA">
        <w:rPr>
          <w:rFonts w:ascii="Garamond" w:hAnsi="Garamond"/>
        </w:rPr>
        <w:t>8</w:t>
      </w:r>
      <w:r w:rsidR="001C1315" w:rsidRPr="007B14AA">
        <w:rPr>
          <w:rFonts w:ascii="Garamond" w:hAnsi="Garamond"/>
        </w:rPr>
        <w:t>:</w:t>
      </w:r>
      <w:r w:rsidR="00CB3F12" w:rsidRPr="007B14AA">
        <w:rPr>
          <w:rFonts w:ascii="Garamond" w:hAnsi="Garamond"/>
        </w:rPr>
        <w:t xml:space="preserve"> </w:t>
      </w:r>
      <w:r w:rsidR="007B14AA">
        <w:rPr>
          <w:rFonts w:ascii="Garamond" w:hAnsi="Garamond"/>
          <w:i/>
        </w:rPr>
        <w:t>Laelius</w:t>
      </w:r>
      <w:r w:rsidR="00241D1C">
        <w:rPr>
          <w:rFonts w:ascii="Garamond" w:hAnsi="Garamond"/>
          <w:i/>
        </w:rPr>
        <w:t xml:space="preserve"> - </w:t>
      </w:r>
      <w:r w:rsidR="00C622A7">
        <w:rPr>
          <w:rFonts w:ascii="Garamond" w:hAnsi="Garamond"/>
          <w:i/>
        </w:rPr>
        <w:t xml:space="preserve">tbd </w:t>
      </w:r>
    </w:p>
    <w:p w14:paraId="73879A45" w14:textId="4F0DE832" w:rsidR="00676E73" w:rsidRPr="00EE456E" w:rsidRDefault="007B14AA" w:rsidP="00295457">
      <w:pPr>
        <w:rPr>
          <w:rFonts w:ascii="Garamond" w:hAnsi="Garamond"/>
          <w:i/>
        </w:rPr>
        <w:sectPr w:rsidR="00676E73" w:rsidRPr="00EE456E">
          <w:pgSz w:w="12240" w:h="15840"/>
          <w:pgMar w:top="1440" w:right="1440" w:bottom="1440" w:left="1440" w:header="720" w:footer="720" w:gutter="0"/>
          <w:cols w:space="720"/>
          <w:docGrid w:linePitch="360"/>
        </w:sectPr>
      </w:pPr>
      <w:r>
        <w:rPr>
          <w:rFonts w:ascii="Garamond" w:hAnsi="Garamond"/>
          <w:i/>
        </w:rPr>
        <w:t xml:space="preserve">In addition to the texts and commentaries linked below, it is my hope at least to prepare the running vocabulary of a Pharr-style commentary, if not also the facing page commentary </w:t>
      </w:r>
      <w:r w:rsidRPr="007B14AA">
        <w:rPr>
          <w:rFonts w:ascii="Garamond" w:hAnsi="Garamond"/>
        </w:rPr>
        <w:t>(</w:t>
      </w:r>
      <w:r>
        <w:rPr>
          <w:rFonts w:ascii="Garamond" w:hAnsi="Garamond"/>
          <w:i/>
        </w:rPr>
        <w:t xml:space="preserve">for </w:t>
      </w:r>
      <w:r>
        <w:rPr>
          <w:rFonts w:ascii="Garamond" w:hAnsi="Garamond"/>
        </w:rPr>
        <w:t>Cato Maior</w:t>
      </w:r>
      <w:r w:rsidRPr="007B14AA">
        <w:rPr>
          <w:rFonts w:ascii="Garamond" w:hAnsi="Garamond"/>
        </w:rPr>
        <w:t>).</w:t>
      </w:r>
      <w:r>
        <w:rPr>
          <w:rFonts w:ascii="Garamond" w:hAnsi="Garamond"/>
        </w:rPr>
        <w:t xml:space="preserve"> </w:t>
      </w:r>
      <w:r>
        <w:rPr>
          <w:rFonts w:ascii="Garamond" w:hAnsi="Garamond"/>
          <w:i/>
        </w:rPr>
        <w:t xml:space="preserve">Be that as it may, a combination of the commentary in the public domain with or without the Loeb should be sufficient for the intermediate </w:t>
      </w:r>
      <w:r w:rsidR="00EE456E">
        <w:rPr>
          <w:rFonts w:ascii="Garamond" w:hAnsi="Garamond"/>
          <w:i/>
        </w:rPr>
        <w:t>student.</w:t>
      </w:r>
    </w:p>
    <w:p w14:paraId="11B359E5" w14:textId="0BEF39C3" w:rsidR="007B14AA" w:rsidRPr="00676E73" w:rsidRDefault="00D0690A" w:rsidP="00295457">
      <w:pPr>
        <w:rPr>
          <w:rFonts w:ascii="Garamond" w:hAnsi="Garamond"/>
          <w:sz w:val="21"/>
        </w:rPr>
      </w:pPr>
      <w:hyperlink r:id="rId6" w:history="1">
        <w:r w:rsidR="007B14AA" w:rsidRPr="00676E73">
          <w:rPr>
            <w:rStyle w:val="Hyperlink"/>
            <w:rFonts w:ascii="Garamond" w:hAnsi="Garamond"/>
            <w:sz w:val="21"/>
          </w:rPr>
          <w:t>Critical Text and Commentary</w:t>
        </w:r>
      </w:hyperlink>
    </w:p>
    <w:p w14:paraId="05866DEF" w14:textId="6462738F" w:rsidR="007B14AA" w:rsidRPr="00676E73" w:rsidRDefault="00D0690A" w:rsidP="001C1315">
      <w:pPr>
        <w:rPr>
          <w:rFonts w:ascii="Garamond" w:hAnsi="Garamond"/>
          <w:sz w:val="21"/>
        </w:rPr>
      </w:pPr>
      <w:hyperlink r:id="rId7" w:history="1">
        <w:r w:rsidR="007B14AA" w:rsidRPr="00676E73">
          <w:rPr>
            <w:rStyle w:val="Hyperlink"/>
            <w:rFonts w:ascii="Garamond" w:hAnsi="Garamond"/>
            <w:sz w:val="21"/>
          </w:rPr>
          <w:t>Older text and commentary in public domain.</w:t>
        </w:r>
      </w:hyperlink>
    </w:p>
    <w:p w14:paraId="2FF81D2D" w14:textId="18FB51BB" w:rsidR="007B14AA" w:rsidRPr="00676E73" w:rsidRDefault="00D0690A" w:rsidP="001C1315">
      <w:pPr>
        <w:rPr>
          <w:rFonts w:ascii="Garamond" w:hAnsi="Garamond"/>
          <w:sz w:val="21"/>
        </w:rPr>
      </w:pPr>
      <w:hyperlink r:id="rId8" w:history="1">
        <w:r w:rsidR="007B14AA" w:rsidRPr="00676E73">
          <w:rPr>
            <w:rStyle w:val="Hyperlink"/>
            <w:rFonts w:ascii="Garamond" w:hAnsi="Garamond"/>
            <w:sz w:val="21"/>
          </w:rPr>
          <w:t>OCT</w:t>
        </w:r>
      </w:hyperlink>
    </w:p>
    <w:p w14:paraId="0527B0F4" w14:textId="650EEF48" w:rsidR="001C1315" w:rsidRPr="00676E73" w:rsidRDefault="00D0690A" w:rsidP="00295457">
      <w:pPr>
        <w:rPr>
          <w:rFonts w:ascii="Garamond" w:hAnsi="Garamond"/>
          <w:sz w:val="21"/>
        </w:rPr>
      </w:pPr>
      <w:hyperlink r:id="rId9" w:history="1">
        <w:r w:rsidR="007B14AA" w:rsidRPr="00676E73">
          <w:rPr>
            <w:rStyle w:val="Hyperlink"/>
            <w:rFonts w:ascii="Garamond" w:hAnsi="Garamond"/>
            <w:sz w:val="21"/>
          </w:rPr>
          <w:t>LOEB</w:t>
        </w:r>
      </w:hyperlink>
    </w:p>
    <w:p w14:paraId="1FFF20C0" w14:textId="77777777" w:rsidR="00676E73" w:rsidRDefault="00676E73" w:rsidP="00676E73">
      <w:pPr>
        <w:rPr>
          <w:rFonts w:ascii="Garamond" w:hAnsi="Garamond"/>
          <w:b/>
          <w:smallCaps/>
        </w:rPr>
        <w:sectPr w:rsidR="00676E73" w:rsidSect="00676E73">
          <w:type w:val="continuous"/>
          <w:pgSz w:w="12240" w:h="15840"/>
          <w:pgMar w:top="1440" w:right="1440" w:bottom="1440" w:left="1440" w:header="720" w:footer="720" w:gutter="0"/>
          <w:cols w:num="2" w:space="720"/>
          <w:docGrid w:linePitch="360"/>
        </w:sectPr>
      </w:pPr>
    </w:p>
    <w:p w14:paraId="7F878423" w14:textId="77777777" w:rsidR="00676E73" w:rsidRDefault="00676E73" w:rsidP="00676E73">
      <w:pPr>
        <w:rPr>
          <w:rFonts w:ascii="Garamond" w:hAnsi="Garamond"/>
          <w:b/>
          <w:smallCaps/>
        </w:rPr>
      </w:pPr>
    </w:p>
    <w:p w14:paraId="26195B72" w14:textId="19983720" w:rsidR="00676E73" w:rsidRPr="00845550" w:rsidRDefault="00676E73" w:rsidP="00676E73">
      <w:pPr>
        <w:rPr>
          <w:rFonts w:ascii="Garamond" w:hAnsi="Garamond"/>
          <w:b/>
          <w:smallCaps/>
        </w:rPr>
      </w:pPr>
      <w:r w:rsidRPr="00845550">
        <w:rPr>
          <w:rFonts w:ascii="Garamond" w:hAnsi="Garamond"/>
          <w:b/>
          <w:smallCaps/>
        </w:rPr>
        <w:lastRenderedPageBreak/>
        <w:t>Logistics</w:t>
      </w:r>
    </w:p>
    <w:p w14:paraId="11AAA2CF" w14:textId="77777777" w:rsidR="002C071F" w:rsidRDefault="002C071F" w:rsidP="002C071F">
      <w:pPr>
        <w:rPr>
          <w:rFonts w:ascii="Garamond" w:hAnsi="Garamond"/>
        </w:rPr>
      </w:pPr>
      <w:r w:rsidRPr="00E9525E">
        <w:rPr>
          <w:rFonts w:ascii="Garamond" w:hAnsi="Garamond"/>
          <w:b/>
          <w:u w:val="single"/>
        </w:rPr>
        <w:t>Cost</w:t>
      </w:r>
      <w:r>
        <w:rPr>
          <w:rFonts w:ascii="Garamond" w:hAnsi="Garamond"/>
        </w:rPr>
        <w:t xml:space="preserve">: 225$ (via Paypal joshaw94@gmail.com </w:t>
      </w:r>
      <w:r>
        <w:rPr>
          <w:rFonts w:ascii="Garamond" w:hAnsi="Garamond"/>
          <w:i/>
        </w:rPr>
        <w:t xml:space="preserve">or </w:t>
      </w:r>
      <w:r>
        <w:rPr>
          <w:rFonts w:ascii="Garamond" w:hAnsi="Garamond"/>
        </w:rPr>
        <w:t>check if necessary), due the second week of the course. You can take it for half if you (enrolled student) successfully invite a friend.</w:t>
      </w:r>
    </w:p>
    <w:p w14:paraId="5A3490E0" w14:textId="38E25BA6" w:rsidR="002C071F" w:rsidRDefault="002C071F" w:rsidP="002C071F">
      <w:pPr>
        <w:rPr>
          <w:rFonts w:ascii="Garamond" w:hAnsi="Garamond"/>
        </w:rPr>
      </w:pPr>
      <w:r w:rsidRPr="00E9525E">
        <w:rPr>
          <w:rFonts w:ascii="Garamond" w:hAnsi="Garamond"/>
          <w:b/>
          <w:u w:val="single"/>
        </w:rPr>
        <w:t>Time</w:t>
      </w:r>
      <w:r>
        <w:rPr>
          <w:rFonts w:ascii="Garamond" w:hAnsi="Garamond"/>
        </w:rPr>
        <w:t xml:space="preserve">: Once a week for eight weeks from </w:t>
      </w:r>
      <w:r>
        <w:rPr>
          <w:rFonts w:ascii="Garamond" w:hAnsi="Garamond"/>
          <w:b/>
        </w:rPr>
        <w:t>Wednesday</w:t>
      </w:r>
      <w:r>
        <w:rPr>
          <w:rFonts w:ascii="Garamond" w:hAnsi="Garamond"/>
        </w:rPr>
        <w:t xml:space="preserve"> </w:t>
      </w:r>
      <w:r>
        <w:rPr>
          <w:rFonts w:ascii="Garamond" w:hAnsi="Garamond"/>
          <w:b/>
        </w:rPr>
        <w:t xml:space="preserve">June 11th to Wednesday July 30th. </w:t>
      </w:r>
      <w:r>
        <w:rPr>
          <w:rFonts w:ascii="Garamond" w:hAnsi="Garamond"/>
        </w:rPr>
        <w:t xml:space="preserve">The tentative class time is </w:t>
      </w:r>
      <w:r w:rsidR="00FA4FA1">
        <w:rPr>
          <w:rFonts w:ascii="Garamond" w:hAnsi="Garamond"/>
          <w:b/>
        </w:rPr>
        <w:t>10:00</w:t>
      </w:r>
      <w:r>
        <w:rPr>
          <w:rFonts w:ascii="Garamond" w:hAnsi="Garamond"/>
          <w:b/>
        </w:rPr>
        <w:t xml:space="preserve"> CST - </w:t>
      </w:r>
      <w:r w:rsidR="00FA4FA1">
        <w:rPr>
          <w:rFonts w:ascii="Garamond" w:hAnsi="Garamond"/>
          <w:b/>
        </w:rPr>
        <w:t>11:45</w:t>
      </w:r>
      <w:r>
        <w:rPr>
          <w:rFonts w:ascii="Garamond" w:hAnsi="Garamond"/>
          <w:b/>
        </w:rPr>
        <w:t xml:space="preserve"> CST</w:t>
      </w:r>
      <w:r>
        <w:rPr>
          <w:rFonts w:ascii="Garamond" w:hAnsi="Garamond"/>
        </w:rPr>
        <w:t>.</w:t>
      </w:r>
      <w:r>
        <w:rPr>
          <w:rStyle w:val="FootnoteReference"/>
          <w:rFonts w:ascii="Garamond" w:hAnsi="Garamond"/>
        </w:rPr>
        <w:footnoteReference w:id="1"/>
      </w:r>
      <w:r>
        <w:rPr>
          <w:rFonts w:ascii="Garamond" w:hAnsi="Garamond"/>
        </w:rPr>
        <w:t xml:space="preserve"> Of course the student will profit from doing the suggested reading, but the seminars will still be of value for those who do not. I will tell the student when to read and when to skim and when to analyze. </w:t>
      </w:r>
    </w:p>
    <w:p w14:paraId="2DA6CBA0" w14:textId="3CF16457" w:rsidR="002C071F" w:rsidRPr="006243D9" w:rsidRDefault="002C071F" w:rsidP="002C071F">
      <w:pPr>
        <w:rPr>
          <w:rFonts w:ascii="Garamond" w:hAnsi="Garamond"/>
        </w:rPr>
      </w:pPr>
      <w:r w:rsidRPr="00E9525E">
        <w:rPr>
          <w:rFonts w:ascii="Garamond" w:hAnsi="Garamond"/>
          <w:b/>
          <w:u w:val="single"/>
        </w:rPr>
        <w:t>Methods</w:t>
      </w:r>
      <w:r>
        <w:rPr>
          <w:rFonts w:ascii="Garamond" w:hAnsi="Garamond"/>
        </w:rPr>
        <w:t>: I am eclectic. Therefore, we will harness the various benefits of active engagement with the text, serious inductive grammar study, summary, long translation</w:t>
      </w:r>
      <w:r w:rsidR="00496C6A">
        <w:rPr>
          <w:rFonts w:ascii="Garamond" w:hAnsi="Garamond"/>
        </w:rPr>
        <w:t>,</w:t>
      </w:r>
      <w:r>
        <w:rPr>
          <w:rFonts w:ascii="Garamond" w:hAnsi="Garamond"/>
        </w:rPr>
        <w:t xml:space="preserve"> and sight-reading. The emphasis will be on reading </w:t>
      </w:r>
      <w:r>
        <w:rPr>
          <w:rFonts w:ascii="Garamond" w:hAnsi="Garamond"/>
          <w:i/>
        </w:rPr>
        <w:t xml:space="preserve">per </w:t>
      </w:r>
      <w:r>
        <w:rPr>
          <w:rFonts w:ascii="Garamond" w:hAnsi="Garamond"/>
        </w:rPr>
        <w:t>Aristotle's dictum cited above.</w:t>
      </w:r>
    </w:p>
    <w:p w14:paraId="72DE8254" w14:textId="1AC6E732" w:rsidR="002C071F" w:rsidRPr="00845550" w:rsidRDefault="002C071F" w:rsidP="002C071F">
      <w:pPr>
        <w:rPr>
          <w:rFonts w:ascii="Garamond" w:hAnsi="Garamond"/>
        </w:rPr>
      </w:pPr>
      <w:r w:rsidRPr="00E9525E">
        <w:rPr>
          <w:rFonts w:ascii="Garamond" w:hAnsi="Garamond"/>
          <w:b/>
          <w:u w:val="single"/>
        </w:rPr>
        <w:t>Necessary Background</w:t>
      </w:r>
      <w:r>
        <w:rPr>
          <w:rFonts w:ascii="Garamond" w:hAnsi="Garamond"/>
        </w:rPr>
        <w:t xml:space="preserve">: The reader should have had at least the equivalent of a year of college-level </w:t>
      </w:r>
      <w:r w:rsidR="00D0690A">
        <w:rPr>
          <w:rFonts w:ascii="Garamond" w:hAnsi="Garamond"/>
        </w:rPr>
        <w:t>Latin</w:t>
      </w:r>
      <w:bookmarkStart w:id="0" w:name="_GoBack"/>
      <w:bookmarkEnd w:id="0"/>
      <w:r>
        <w:rPr>
          <w:rFonts w:ascii="Garamond" w:hAnsi="Garamond"/>
        </w:rPr>
        <w:t>, and this class will probably sit in the difficulty level of a third-year seminar course. Eventually, I hope to be able to offer advanced courses for intensive study.</w:t>
      </w:r>
    </w:p>
    <w:p w14:paraId="5D3ABC1C" w14:textId="77777777" w:rsidR="002C071F" w:rsidRPr="00845550" w:rsidRDefault="002C071F" w:rsidP="002C071F">
      <w:pPr>
        <w:rPr>
          <w:rFonts w:ascii="Garamond" w:hAnsi="Garamond"/>
        </w:rPr>
      </w:pPr>
      <w:r w:rsidRPr="00E9525E">
        <w:rPr>
          <w:rFonts w:ascii="Garamond" w:hAnsi="Garamond"/>
          <w:b/>
          <w:u w:val="single"/>
        </w:rPr>
        <w:t>My Qualifications</w:t>
      </w:r>
      <w:r>
        <w:rPr>
          <w:rFonts w:ascii="Garamond" w:hAnsi="Garamond"/>
        </w:rPr>
        <w:t xml:space="preserve">: I have read many thousands of pages of Greek and Latin, written reader's commentaries on texts of both languages, and have now taught the languages to all levels of students (from middle school through Graduate students in an intensive setting). But, to ensure satisfaction, the student is welcome to withdraw </w:t>
      </w:r>
      <w:r w:rsidRPr="00D0690A">
        <w:rPr>
          <w:rFonts w:ascii="Garamond" w:hAnsi="Garamond"/>
          <w:i/>
        </w:rPr>
        <w:t>up to our third class</w:t>
      </w:r>
      <w:r>
        <w:rPr>
          <w:rFonts w:ascii="Garamond" w:hAnsi="Garamond"/>
        </w:rPr>
        <w:t xml:space="preserve"> for a full refund.</w:t>
      </w:r>
    </w:p>
    <w:p w14:paraId="08FE7D4B" w14:textId="77777777" w:rsidR="00676E73" w:rsidRPr="00C622A7" w:rsidRDefault="00676E73" w:rsidP="00295457">
      <w:pPr>
        <w:rPr>
          <w:rFonts w:ascii="Garamond" w:hAnsi="Garamond"/>
        </w:rPr>
      </w:pPr>
    </w:p>
    <w:sectPr w:rsidR="00676E73" w:rsidRPr="00C622A7" w:rsidSect="00676E7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F3BCB" w14:textId="77777777" w:rsidR="003D0FD5" w:rsidRDefault="003D0FD5" w:rsidP="00245392">
      <w:pPr>
        <w:spacing w:after="0" w:line="240" w:lineRule="auto"/>
      </w:pPr>
      <w:r>
        <w:separator/>
      </w:r>
    </w:p>
  </w:endnote>
  <w:endnote w:type="continuationSeparator" w:id="0">
    <w:p w14:paraId="42AFC71D" w14:textId="77777777" w:rsidR="003D0FD5" w:rsidRDefault="003D0FD5" w:rsidP="00245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panose1 w:val="020B06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GFS Porson">
    <w:panose1 w:val="020B0604020202020204"/>
    <w:charset w:val="00"/>
    <w:family w:val="auto"/>
    <w:notTrueType/>
    <w:pitch w:val="variable"/>
    <w:sig w:usb0="C00000A3" w:usb1="00000048" w:usb2="00000000" w:usb3="00000000" w:csb0="00000009" w:csb1="00000000"/>
  </w:font>
  <w:font w:name="Times">
    <w:panose1 w:val="000005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12BBDC" w14:textId="77777777" w:rsidR="003D0FD5" w:rsidRDefault="003D0FD5" w:rsidP="00245392">
      <w:pPr>
        <w:spacing w:after="0" w:line="240" w:lineRule="auto"/>
      </w:pPr>
      <w:r>
        <w:separator/>
      </w:r>
    </w:p>
  </w:footnote>
  <w:footnote w:type="continuationSeparator" w:id="0">
    <w:p w14:paraId="614BB088" w14:textId="77777777" w:rsidR="003D0FD5" w:rsidRDefault="003D0FD5" w:rsidP="00245392">
      <w:pPr>
        <w:spacing w:after="0" w:line="240" w:lineRule="auto"/>
      </w:pPr>
      <w:r>
        <w:continuationSeparator/>
      </w:r>
    </w:p>
  </w:footnote>
  <w:footnote w:id="1">
    <w:p w14:paraId="314F7815" w14:textId="77777777" w:rsidR="002C071F" w:rsidRPr="001428E5" w:rsidRDefault="002C071F" w:rsidP="002C071F">
      <w:pPr>
        <w:pStyle w:val="FootnoteText"/>
        <w:rPr>
          <w:rFonts w:ascii="Times" w:hAnsi="Times"/>
        </w:rPr>
      </w:pPr>
      <w:r w:rsidRPr="001428E5">
        <w:rPr>
          <w:rStyle w:val="FootnoteReference"/>
          <w:rFonts w:ascii="Times" w:hAnsi="Times"/>
        </w:rPr>
        <w:footnoteRef/>
      </w:r>
      <w:r w:rsidRPr="001428E5">
        <w:rPr>
          <w:rFonts w:ascii="Times" w:hAnsi="Times"/>
        </w:rPr>
        <w:t xml:space="preserve"> </w:t>
      </w:r>
      <w:r>
        <w:rPr>
          <w:rFonts w:ascii="Times" w:hAnsi="Times"/>
        </w:rPr>
        <w:t>By</w:t>
      </w:r>
      <w:r w:rsidRPr="001428E5">
        <w:rPr>
          <w:rFonts w:ascii="Times" w:hAnsi="Times"/>
        </w:rPr>
        <w:t xml:space="preserve"> agreement between the instructor and the majority of the students the time </w:t>
      </w:r>
      <w:r>
        <w:rPr>
          <w:rFonts w:ascii="Times" w:hAnsi="Times"/>
          <w:i/>
        </w:rPr>
        <w:t xml:space="preserve">may </w:t>
      </w:r>
      <w:r w:rsidRPr="001428E5">
        <w:rPr>
          <w:rFonts w:ascii="Times" w:hAnsi="Times"/>
        </w:rPr>
        <w:t>be changed.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7BB593"/>
    <w:rsid w:val="000063CD"/>
    <w:rsid w:val="00052980"/>
    <w:rsid w:val="0008725C"/>
    <w:rsid w:val="000B7B44"/>
    <w:rsid w:val="000C6DF3"/>
    <w:rsid w:val="000E503E"/>
    <w:rsid w:val="00107692"/>
    <w:rsid w:val="00122BF6"/>
    <w:rsid w:val="00184654"/>
    <w:rsid w:val="001A4839"/>
    <w:rsid w:val="001B3810"/>
    <w:rsid w:val="001C1315"/>
    <w:rsid w:val="001C2391"/>
    <w:rsid w:val="001D09FA"/>
    <w:rsid w:val="00241D1C"/>
    <w:rsid w:val="00245392"/>
    <w:rsid w:val="00282040"/>
    <w:rsid w:val="00295457"/>
    <w:rsid w:val="002B7FC0"/>
    <w:rsid w:val="002C071F"/>
    <w:rsid w:val="00327CC2"/>
    <w:rsid w:val="003B005A"/>
    <w:rsid w:val="003B3FA5"/>
    <w:rsid w:val="003D0FD5"/>
    <w:rsid w:val="003E1726"/>
    <w:rsid w:val="0046164D"/>
    <w:rsid w:val="00496C6A"/>
    <w:rsid w:val="005356D5"/>
    <w:rsid w:val="00575D45"/>
    <w:rsid w:val="0062186E"/>
    <w:rsid w:val="00624991"/>
    <w:rsid w:val="006255F0"/>
    <w:rsid w:val="00627A33"/>
    <w:rsid w:val="00676E73"/>
    <w:rsid w:val="006B1267"/>
    <w:rsid w:val="007B14AA"/>
    <w:rsid w:val="007F68A5"/>
    <w:rsid w:val="00871E9B"/>
    <w:rsid w:val="008B66B8"/>
    <w:rsid w:val="008C7C48"/>
    <w:rsid w:val="009F30F5"/>
    <w:rsid w:val="00A55C73"/>
    <w:rsid w:val="00B73D38"/>
    <w:rsid w:val="00B87A77"/>
    <w:rsid w:val="00BC3FB4"/>
    <w:rsid w:val="00BC7607"/>
    <w:rsid w:val="00BD22CF"/>
    <w:rsid w:val="00C622A7"/>
    <w:rsid w:val="00C71681"/>
    <w:rsid w:val="00CB3F12"/>
    <w:rsid w:val="00CB4FF6"/>
    <w:rsid w:val="00CD01CD"/>
    <w:rsid w:val="00CD4F4E"/>
    <w:rsid w:val="00D0690A"/>
    <w:rsid w:val="00D317AB"/>
    <w:rsid w:val="00E63207"/>
    <w:rsid w:val="00E672D3"/>
    <w:rsid w:val="00EA4A65"/>
    <w:rsid w:val="00EE456E"/>
    <w:rsid w:val="00EF139C"/>
    <w:rsid w:val="00EF27D6"/>
    <w:rsid w:val="00F2281C"/>
    <w:rsid w:val="00F446AF"/>
    <w:rsid w:val="00FA4FA1"/>
    <w:rsid w:val="0F7BB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BB593"/>
  <w15:chartTrackingRefBased/>
  <w15:docId w15:val="{759A1924-F479-F74B-BF11-E2B7D455A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name w:val="header"/>
    <w:basedOn w:val="Normal"/>
    <w:link w:val="HeaderChar"/>
    <w:uiPriority w:val="99"/>
    <w:unhideWhenUsed/>
    <w:rsid w:val="002453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5392"/>
  </w:style>
  <w:style w:type="paragraph" w:styleId="Footer">
    <w:name w:val="footer"/>
    <w:basedOn w:val="Normal"/>
    <w:link w:val="FooterChar"/>
    <w:uiPriority w:val="99"/>
    <w:unhideWhenUsed/>
    <w:rsid w:val="002453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5392"/>
  </w:style>
  <w:style w:type="character" w:styleId="Hyperlink">
    <w:name w:val="Hyperlink"/>
    <w:basedOn w:val="DefaultParagraphFont"/>
    <w:uiPriority w:val="99"/>
    <w:unhideWhenUsed/>
    <w:rsid w:val="001C1315"/>
    <w:rPr>
      <w:color w:val="467886" w:themeColor="hyperlink"/>
      <w:u w:val="single"/>
    </w:rPr>
  </w:style>
  <w:style w:type="character" w:styleId="UnresolvedMention">
    <w:name w:val="Unresolved Mention"/>
    <w:basedOn w:val="DefaultParagraphFont"/>
    <w:uiPriority w:val="99"/>
    <w:semiHidden/>
    <w:unhideWhenUsed/>
    <w:rsid w:val="007B14AA"/>
    <w:rPr>
      <w:color w:val="605E5C"/>
      <w:shd w:val="clear" w:color="auto" w:fill="E1DFDD"/>
    </w:rPr>
  </w:style>
  <w:style w:type="character" w:styleId="FollowedHyperlink">
    <w:name w:val="FollowedHyperlink"/>
    <w:basedOn w:val="DefaultParagraphFont"/>
    <w:uiPriority w:val="99"/>
    <w:semiHidden/>
    <w:unhideWhenUsed/>
    <w:rsid w:val="00676E73"/>
    <w:rPr>
      <w:color w:val="96607D" w:themeColor="followedHyperlink"/>
      <w:u w:val="single"/>
    </w:rPr>
  </w:style>
  <w:style w:type="paragraph" w:styleId="FootnoteText">
    <w:name w:val="footnote text"/>
    <w:basedOn w:val="Normal"/>
    <w:link w:val="FootnoteTextChar"/>
    <w:uiPriority w:val="99"/>
    <w:semiHidden/>
    <w:unhideWhenUsed/>
    <w:rsid w:val="002C07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071F"/>
    <w:rPr>
      <w:sz w:val="20"/>
      <w:szCs w:val="20"/>
    </w:rPr>
  </w:style>
  <w:style w:type="character" w:styleId="FootnoteReference">
    <w:name w:val="footnote reference"/>
    <w:basedOn w:val="DefaultParagraphFont"/>
    <w:uiPriority w:val="99"/>
    <w:semiHidden/>
    <w:unhideWhenUsed/>
    <w:rsid w:val="002C071F"/>
    <w:rPr>
      <w:vertAlign w:val="superscript"/>
    </w:rPr>
  </w:style>
  <w:style w:type="paragraph" w:styleId="BalloonText">
    <w:name w:val="Balloon Text"/>
    <w:basedOn w:val="Normal"/>
    <w:link w:val="BalloonTextChar"/>
    <w:uiPriority w:val="99"/>
    <w:semiHidden/>
    <w:unhideWhenUsed/>
    <w:rsid w:val="000B7B4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B7B4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lobal.oup.com/academic/product/m-tullius-ciceronis-de-re-publica-de-legibus-cato-maior-de-senectute-laelius-de-amicitia-9780198146698?prevNumResPerPage=20&amp;prevSortField=3&amp;resultsPerPage=20&amp;sortField=3&amp;start=20&amp;lang=en&amp;cc=us" TargetMode="External"/><Relationship Id="rId3" Type="http://schemas.openxmlformats.org/officeDocument/2006/relationships/webSettings" Target="webSettings.xml"/><Relationship Id="rId7" Type="http://schemas.openxmlformats.org/officeDocument/2006/relationships/hyperlink" Target="https://www.google.com/books/edition/Cato_major_et_Lailius/AfLW0DLjv4oC?hl=en&amp;gbpv=1&amp;dq=cato+maior&amp;pg=PR8&amp;printsec=frontcov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mazon.com/Cicero-Senectute-Cambridge-Classical-Commentaries/dp/0521607043/ref=sr_1_1?dib=eyJ2IjoiMSJ9.A8zoka_cHytBkIRvWlLgDQ.9P7imBF4dfrkZgBZXwiGusrU2tE08_AQs1XewPcuBqY&amp;dib_tag=se&amp;keywords=9780521335010&amp;linkCode=qs&amp;qid=1734476749&amp;s=books&amp;sr=1-1"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amazon.com/Cicero-Friendship-Divination-Classical-Library/dp/0674991702/ref=sr_1_2?crid=6B2G6ZE44YCT&amp;dib=eyJ2IjoiMSJ9.qwuPI03ry29CbDgVLRFuwKXwhtKRofV76-TOKckgKYr8cxf6YdHaqVdefAI-oCnpgjEd_7myFlRmAtRMPzrXHUsISu9NbO-rNuF42zQDUhpLOVeQm2JqSBM_T1_6UPtJszESYSkXsivzXn4ZQdgkJDALvaetjpvWBJoBAwstdggUkM6aruqk1mZwzwsvzENG6tEPxnk0MKzuCJfFwHK74cV7bTXtQGw8z3NXH4vXm84.r6mebk-8xrcbgqRGSdfQymi6eKb-Ur-LywQn6MDQzk4&amp;dib_tag=se&amp;keywords=cicero+loeb&amp;qid=1734477775&amp;s=books&amp;sprefix=cicero+l%2Cstripbooks%2C285&amp;sr=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727</Words>
  <Characters>4147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Joshaw Shaw</dc:creator>
  <cp:keywords/>
  <dc:description/>
  <cp:lastModifiedBy>Joshua Shaw</cp:lastModifiedBy>
  <cp:revision>8</cp:revision>
  <cp:lastPrinted>2024-12-18T03:03:00Z</cp:lastPrinted>
  <dcterms:created xsi:type="dcterms:W3CDTF">2024-12-18T03:03:00Z</dcterms:created>
  <dcterms:modified xsi:type="dcterms:W3CDTF">2025-02-22T20:07:00Z</dcterms:modified>
</cp:coreProperties>
</file>